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27" w:rsidRPr="00723B1A" w:rsidRDefault="003B1C27" w:rsidP="003B1C27">
      <w:pPr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ANEXO IV</w:t>
      </w:r>
    </w:p>
    <w:p w:rsidR="003B1C27" w:rsidRPr="008079A9" w:rsidRDefault="003B1C27" w:rsidP="003B1C27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t-BR"/>
        </w:rPr>
      </w:pPr>
      <w:r w:rsidRPr="008079A9">
        <w:rPr>
          <w:rFonts w:ascii="Verdana" w:eastAsia="Times New Roman" w:hAnsi="Verdana"/>
          <w:b/>
          <w:sz w:val="24"/>
          <w:szCs w:val="24"/>
          <w:lang w:eastAsia="pt-BR"/>
        </w:rPr>
        <w:t>INFORMAÇÕES GERAIS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Plateia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260 lugares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Palco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Profundidade (boca de cena ao ciclorama): 9m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Largura da boca de cena: 12m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Altura da boca de cena: 5m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Profundidade total (até o ciclorama): 11m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Largura total (incluindo as pernas): 14m</w:t>
      </w:r>
    </w:p>
    <w:p w:rsidR="003B1C27" w:rsidRPr="00723B1A" w:rsidRDefault="003B1C27" w:rsidP="003B1C27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Altura total (até o urdimento): 8m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Varas de Iluminação e Cenário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2 Varas f</w:t>
      </w:r>
      <w:r w:rsidR="00670AA7">
        <w:rPr>
          <w:rFonts w:ascii="Verdana" w:eastAsia="Times New Roman" w:hAnsi="Verdana"/>
          <w:sz w:val="24"/>
          <w:szCs w:val="24"/>
          <w:lang w:eastAsia="pt-BR"/>
        </w:rPr>
        <w:t>ixas de iluminação (frente/plate</w:t>
      </w:r>
      <w:r w:rsidRPr="00723B1A">
        <w:rPr>
          <w:rFonts w:ascii="Verdana" w:eastAsia="Times New Roman" w:hAnsi="Verdana"/>
          <w:sz w:val="24"/>
          <w:szCs w:val="24"/>
          <w:lang w:eastAsia="pt-BR"/>
        </w:rPr>
        <w:t>ia): 17m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4 Varas manual de Iluminação: 14m, capacidade máx. 500kg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 xml:space="preserve">2 Varas fixas </w:t>
      </w:r>
      <w:r w:rsidR="00670AA7">
        <w:rPr>
          <w:rFonts w:ascii="Verdana" w:eastAsia="Times New Roman" w:hAnsi="Verdana"/>
          <w:sz w:val="24"/>
          <w:szCs w:val="24"/>
          <w:lang w:eastAsia="pt-BR"/>
        </w:rPr>
        <w:t xml:space="preserve">de iluminação (lateral </w:t>
      </w:r>
      <w:proofErr w:type="spellStart"/>
      <w:r w:rsidR="00670AA7">
        <w:rPr>
          <w:rFonts w:ascii="Verdana" w:eastAsia="Times New Roman" w:hAnsi="Verdana"/>
          <w:sz w:val="24"/>
          <w:szCs w:val="24"/>
          <w:lang w:eastAsia="pt-BR"/>
        </w:rPr>
        <w:t>esq</w:t>
      </w:r>
      <w:proofErr w:type="spellEnd"/>
      <w:r w:rsidR="00670AA7">
        <w:rPr>
          <w:rFonts w:ascii="Verdana" w:eastAsia="Times New Roman" w:hAnsi="Verdana"/>
          <w:sz w:val="24"/>
          <w:szCs w:val="24"/>
          <w:lang w:eastAsia="pt-BR"/>
        </w:rPr>
        <w:t>/plate</w:t>
      </w:r>
      <w:r w:rsidRPr="00723B1A">
        <w:rPr>
          <w:rFonts w:ascii="Verdana" w:eastAsia="Times New Roman" w:hAnsi="Verdana"/>
          <w:sz w:val="24"/>
          <w:szCs w:val="24"/>
          <w:lang w:eastAsia="pt-BR"/>
        </w:rPr>
        <w:t>ia): 7,85m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 xml:space="preserve">2 Varas fixas </w:t>
      </w:r>
      <w:r w:rsidR="00670AA7">
        <w:rPr>
          <w:rFonts w:ascii="Verdana" w:eastAsia="Times New Roman" w:hAnsi="Verdana"/>
          <w:sz w:val="24"/>
          <w:szCs w:val="24"/>
          <w:lang w:eastAsia="pt-BR"/>
        </w:rPr>
        <w:t xml:space="preserve">de iluminação (lateral </w:t>
      </w:r>
      <w:proofErr w:type="spellStart"/>
      <w:r w:rsidR="00670AA7">
        <w:rPr>
          <w:rFonts w:ascii="Verdana" w:eastAsia="Times New Roman" w:hAnsi="Verdana"/>
          <w:sz w:val="24"/>
          <w:szCs w:val="24"/>
          <w:lang w:eastAsia="pt-BR"/>
        </w:rPr>
        <w:t>dir</w:t>
      </w:r>
      <w:proofErr w:type="spellEnd"/>
      <w:r w:rsidR="00670AA7">
        <w:rPr>
          <w:rFonts w:ascii="Verdana" w:eastAsia="Times New Roman" w:hAnsi="Verdana"/>
          <w:sz w:val="24"/>
          <w:szCs w:val="24"/>
          <w:lang w:eastAsia="pt-BR"/>
        </w:rPr>
        <w:t>/platei</w:t>
      </w:r>
      <w:r w:rsidRPr="00723B1A">
        <w:rPr>
          <w:rFonts w:ascii="Verdana" w:eastAsia="Times New Roman" w:hAnsi="Verdana"/>
          <w:sz w:val="24"/>
          <w:szCs w:val="24"/>
          <w:lang w:eastAsia="pt-BR"/>
        </w:rPr>
        <w:t>a): 7,85m</w:t>
      </w:r>
    </w:p>
    <w:p w:rsidR="003B1C27" w:rsidRPr="00723B1A" w:rsidRDefault="00B42D34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>
        <w:rPr>
          <w:rFonts w:ascii="Verdana" w:eastAsia="Times New Roman" w:hAnsi="Verdana"/>
          <w:sz w:val="24"/>
          <w:szCs w:val="24"/>
          <w:lang w:eastAsia="pt-BR"/>
        </w:rPr>
        <w:t>17</w:t>
      </w:r>
      <w:r w:rsidR="003B1C27" w:rsidRPr="00723B1A">
        <w:rPr>
          <w:rFonts w:ascii="Verdana" w:eastAsia="Times New Roman" w:hAnsi="Verdana"/>
          <w:sz w:val="24"/>
          <w:szCs w:val="24"/>
          <w:lang w:eastAsia="pt-BR"/>
        </w:rPr>
        <w:t xml:space="preserve"> Varas manual de cenário: 14m, capacidade máx. 500kg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bookmarkStart w:id="0" w:name="_GoBack"/>
      <w:bookmarkEnd w:id="0"/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Cortinas e Reguladores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Cortina corta fogo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Cortina da boca de cena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Regulador de boca de cena horizontal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2 Regulador de boca de cena vertical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Rotunda</w:t>
      </w:r>
    </w:p>
    <w:p w:rsidR="003B1C27" w:rsidRPr="00723B1A" w:rsidRDefault="003B1C27" w:rsidP="003B1C27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Ciclorama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Cabine de Som e Luz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unidade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Porão</w:t>
      </w:r>
    </w:p>
    <w:p w:rsidR="003B1C27" w:rsidRPr="00723B1A" w:rsidRDefault="003B1C27" w:rsidP="003B1C27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Altura: 2,2m</w:t>
      </w:r>
    </w:p>
    <w:p w:rsidR="003B1C27" w:rsidRPr="00723B1A" w:rsidRDefault="003B1C27" w:rsidP="003B1C27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Profundidade: 8m</w:t>
      </w:r>
    </w:p>
    <w:p w:rsidR="003B1C27" w:rsidRDefault="003B1C27" w:rsidP="003B1C27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Largura: 12m</w:t>
      </w:r>
    </w:p>
    <w:p w:rsidR="003B1C27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lastRenderedPageBreak/>
        <w:t>Passarela</w:t>
      </w:r>
    </w:p>
    <w:p w:rsidR="003B1C27" w:rsidRPr="00723B1A" w:rsidRDefault="003B1C27" w:rsidP="003B1C27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 xml:space="preserve">Passarela de comunicação aéreo camarins/maquinário cênico/cabine de som e iluminação 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Plataformas para projeção de Canhão de Luz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2 plataformas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Depósito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1 Depósito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Camarins: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2 camarins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8 pessoas total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Foyer (mobiliado)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Profundidade: 8,7m</w:t>
      </w:r>
    </w:p>
    <w:p w:rsidR="003B1C27" w:rsidRPr="00723B1A" w:rsidRDefault="003B1C27" w:rsidP="003B1C27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Largura: 10,2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Bilheteria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Banheiro Masculino</w:t>
      </w:r>
    </w:p>
    <w:p w:rsidR="003B1C27" w:rsidRPr="00723B1A" w:rsidRDefault="003B1C27" w:rsidP="003B1C27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Coletivo para três pessoas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u w:val="single"/>
          <w:lang w:eastAsia="pt-BR"/>
        </w:rPr>
      </w:pPr>
      <w:r w:rsidRPr="00723B1A">
        <w:rPr>
          <w:rFonts w:ascii="Verdana" w:eastAsia="Times New Roman" w:hAnsi="Verdana"/>
          <w:b/>
          <w:sz w:val="24"/>
          <w:szCs w:val="24"/>
          <w:u w:val="single"/>
          <w:lang w:eastAsia="pt-BR"/>
        </w:rPr>
        <w:t>Banheiro Feminino</w:t>
      </w:r>
    </w:p>
    <w:p w:rsidR="003B1C27" w:rsidRPr="00723B1A" w:rsidRDefault="003B1C27" w:rsidP="003B1C27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  <w:r w:rsidRPr="00723B1A">
        <w:rPr>
          <w:rFonts w:ascii="Verdana" w:eastAsia="Times New Roman" w:hAnsi="Verdana"/>
          <w:sz w:val="24"/>
          <w:szCs w:val="24"/>
          <w:lang w:eastAsia="pt-BR"/>
        </w:rPr>
        <w:t>Coletivo para três pessoas</w:t>
      </w: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t-BR"/>
        </w:rPr>
      </w:pPr>
    </w:p>
    <w:p w:rsidR="003B1C27" w:rsidRPr="00723B1A" w:rsidRDefault="003B1C27" w:rsidP="003B1C27"/>
    <w:p w:rsidR="003549D2" w:rsidRPr="00001B2A" w:rsidRDefault="003549D2" w:rsidP="00001B2A"/>
    <w:sectPr w:rsidR="003549D2" w:rsidRPr="00001B2A" w:rsidSect="003549D2">
      <w:head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F6" w:rsidRDefault="00ED65F6" w:rsidP="003549D2">
      <w:pPr>
        <w:spacing w:after="0" w:line="240" w:lineRule="auto"/>
      </w:pPr>
      <w:r>
        <w:separator/>
      </w:r>
    </w:p>
  </w:endnote>
  <w:endnote w:type="continuationSeparator" w:id="0">
    <w:p w:rsidR="00ED65F6" w:rsidRDefault="00ED65F6" w:rsidP="0035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F6" w:rsidRDefault="00ED65F6" w:rsidP="003549D2">
      <w:pPr>
        <w:spacing w:after="0" w:line="240" w:lineRule="auto"/>
      </w:pPr>
      <w:r>
        <w:separator/>
      </w:r>
    </w:p>
  </w:footnote>
  <w:footnote w:type="continuationSeparator" w:id="0">
    <w:p w:rsidR="00ED65F6" w:rsidRDefault="00ED65F6" w:rsidP="0035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9D2" w:rsidRPr="003549D2" w:rsidRDefault="00B50D34" w:rsidP="003549D2">
    <w:pPr>
      <w:pStyle w:val="Cabealho"/>
    </w:pPr>
    <w:r w:rsidRPr="00B50D34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ragraph">
            <wp:posOffset>-450215</wp:posOffset>
          </wp:positionV>
          <wp:extent cx="7553325" cy="10694218"/>
          <wp:effectExtent l="0" t="0" r="0" b="0"/>
          <wp:wrapNone/>
          <wp:docPr id="1" name="Imagem 1" descr="\\10.63.1.21\Comunicacao\Impressos e Papelaria - Nova Marca 2021\Papel Timbrado\Artes para fundo WORD\CA 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63.1.21\Comunicacao\Impressos e Papelaria - Nova Marca 2021\Papel Timbrado\Artes para fundo WORD\CA PALM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4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815"/>
    <w:multiLevelType w:val="hybridMultilevel"/>
    <w:tmpl w:val="6422DF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82D78"/>
    <w:multiLevelType w:val="hybridMultilevel"/>
    <w:tmpl w:val="18BC50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4811"/>
    <w:multiLevelType w:val="hybridMultilevel"/>
    <w:tmpl w:val="0628B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85776"/>
    <w:multiLevelType w:val="hybridMultilevel"/>
    <w:tmpl w:val="3968CF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66703"/>
    <w:multiLevelType w:val="hybridMultilevel"/>
    <w:tmpl w:val="C82263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4690B"/>
    <w:multiLevelType w:val="hybridMultilevel"/>
    <w:tmpl w:val="274018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3640"/>
    <w:multiLevelType w:val="hybridMultilevel"/>
    <w:tmpl w:val="E940DD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2"/>
    <w:rsid w:val="00001B2A"/>
    <w:rsid w:val="000D11FD"/>
    <w:rsid w:val="001B3E13"/>
    <w:rsid w:val="002C3A6B"/>
    <w:rsid w:val="003549D2"/>
    <w:rsid w:val="00367461"/>
    <w:rsid w:val="003B1C27"/>
    <w:rsid w:val="004466B4"/>
    <w:rsid w:val="004903EF"/>
    <w:rsid w:val="005D5F60"/>
    <w:rsid w:val="0063683B"/>
    <w:rsid w:val="00670AA7"/>
    <w:rsid w:val="00757E4B"/>
    <w:rsid w:val="00910294"/>
    <w:rsid w:val="009D3F43"/>
    <w:rsid w:val="00B42D34"/>
    <w:rsid w:val="00B50D34"/>
    <w:rsid w:val="00C47E11"/>
    <w:rsid w:val="00CC1BBC"/>
    <w:rsid w:val="00D30834"/>
    <w:rsid w:val="00E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D58B"/>
  <w15:chartTrackingRefBased/>
  <w15:docId w15:val="{804946AB-B80C-46C7-9595-B96CDF7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9D2"/>
  </w:style>
  <w:style w:type="paragraph" w:styleId="Rodap">
    <w:name w:val="footer"/>
    <w:basedOn w:val="Normal"/>
    <w:link w:val="RodapChar"/>
    <w:uiPriority w:val="99"/>
    <w:unhideWhenUsed/>
    <w:rsid w:val="00354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9D2"/>
  </w:style>
  <w:style w:type="character" w:styleId="Hyperlink">
    <w:name w:val="Hyperlink"/>
    <w:basedOn w:val="Fontepargpadro"/>
    <w:uiPriority w:val="99"/>
    <w:semiHidden/>
    <w:unhideWhenUsed/>
    <w:rsid w:val="0063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Freire da Silva</dc:creator>
  <cp:keywords/>
  <dc:description/>
  <cp:lastModifiedBy>Alessandra Britez</cp:lastModifiedBy>
  <cp:revision>3</cp:revision>
  <dcterms:created xsi:type="dcterms:W3CDTF">2023-03-20T12:40:00Z</dcterms:created>
  <dcterms:modified xsi:type="dcterms:W3CDTF">2023-03-20T12:40:00Z</dcterms:modified>
</cp:coreProperties>
</file>